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0D7" w:rsidRDefault="003B70D7" w:rsidP="003B70D7">
      <w:pPr>
        <w:ind w:left="5670"/>
        <w:rPr>
          <w:sz w:val="28"/>
          <w:szCs w:val="28"/>
          <w:lang w:val="uk-UA"/>
        </w:rPr>
      </w:pPr>
      <w:r w:rsidRPr="00FA60E3">
        <w:rPr>
          <w:sz w:val="28"/>
          <w:szCs w:val="28"/>
          <w:lang w:val="uk-UA"/>
        </w:rPr>
        <w:t xml:space="preserve">Додаток  </w:t>
      </w:r>
    </w:p>
    <w:p w:rsidR="003B70D7" w:rsidRPr="00C66253" w:rsidRDefault="003B70D7" w:rsidP="003B70D7">
      <w:pPr>
        <w:ind w:left="5670"/>
        <w:rPr>
          <w:sz w:val="28"/>
          <w:szCs w:val="28"/>
          <w:lang w:val="uk-UA"/>
        </w:rPr>
      </w:pPr>
      <w:r w:rsidRPr="00C66253">
        <w:rPr>
          <w:sz w:val="28"/>
          <w:szCs w:val="28"/>
          <w:lang w:val="uk-UA"/>
        </w:rPr>
        <w:t xml:space="preserve">до </w:t>
      </w:r>
      <w:r w:rsidRPr="009D6A16">
        <w:rPr>
          <w:sz w:val="28"/>
          <w:lang w:val="uk-UA"/>
        </w:rPr>
        <w:t>Програм</w:t>
      </w:r>
      <w:r>
        <w:rPr>
          <w:sz w:val="28"/>
          <w:lang w:val="uk-UA"/>
        </w:rPr>
        <w:t xml:space="preserve">и покращення сприятливого інвестиційного клімату, формування ефективної системи управління ЗЕД на рівні підприємств Дрогобицької міської територіальної громади на 2024  </w:t>
      </w:r>
      <w:r w:rsidRPr="009D6A16">
        <w:rPr>
          <w:sz w:val="28"/>
          <w:szCs w:val="28"/>
          <w:lang w:val="uk-UA"/>
        </w:rPr>
        <w:t>рік</w:t>
      </w:r>
    </w:p>
    <w:p w:rsidR="003B70D7" w:rsidRDefault="003B70D7" w:rsidP="003B70D7">
      <w:pPr>
        <w:ind w:left="-142" w:firstLine="708"/>
        <w:jc w:val="center"/>
        <w:rPr>
          <w:b/>
          <w:sz w:val="28"/>
          <w:szCs w:val="28"/>
          <w:lang w:val="uk-UA"/>
        </w:rPr>
      </w:pPr>
    </w:p>
    <w:p w:rsidR="003B70D7" w:rsidRPr="00C140D9" w:rsidRDefault="003B70D7" w:rsidP="003B70D7">
      <w:pPr>
        <w:ind w:left="-142" w:firstLine="708"/>
        <w:jc w:val="center"/>
        <w:rPr>
          <w:b/>
          <w:sz w:val="28"/>
          <w:szCs w:val="28"/>
          <w:lang w:val="uk-UA"/>
        </w:rPr>
      </w:pPr>
      <w:r w:rsidRPr="00C140D9">
        <w:rPr>
          <w:b/>
          <w:sz w:val="28"/>
          <w:szCs w:val="28"/>
          <w:lang w:val="uk-UA"/>
        </w:rPr>
        <w:t>Заходи до Програми покращення сприятливого інвестиційного клімату, формування ефективної системи управління ЗЕД на рівні підприємств Дрогобицької міської територіальної громади на 2024  рік</w:t>
      </w:r>
    </w:p>
    <w:p w:rsidR="003B70D7" w:rsidRPr="0099289D" w:rsidRDefault="003B70D7" w:rsidP="003B70D7">
      <w:pPr>
        <w:ind w:left="-142" w:firstLine="708"/>
        <w:jc w:val="center"/>
        <w:rPr>
          <w:b/>
          <w:sz w:val="26"/>
          <w:szCs w:val="26"/>
          <w:lang w:val="uk-UA"/>
        </w:rPr>
      </w:pPr>
    </w:p>
    <w:tbl>
      <w:tblPr>
        <w:tblpPr w:leftFromText="180" w:rightFromText="180" w:vertAnchor="text" w:horzAnchor="margin" w:tblpXSpec="center" w:tblpY="113"/>
        <w:tblW w:w="15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6379"/>
        <w:gridCol w:w="1417"/>
        <w:gridCol w:w="1134"/>
        <w:gridCol w:w="1843"/>
        <w:gridCol w:w="3544"/>
      </w:tblGrid>
      <w:tr w:rsidR="003B70D7" w:rsidRPr="007165CC" w:rsidTr="008F5D0D">
        <w:trPr>
          <w:trHeight w:val="699"/>
        </w:trPr>
        <w:tc>
          <w:tcPr>
            <w:tcW w:w="704" w:type="dxa"/>
            <w:vAlign w:val="center"/>
          </w:tcPr>
          <w:p w:rsidR="003B70D7" w:rsidRPr="00DE59ED" w:rsidRDefault="003B70D7" w:rsidP="003B70D7">
            <w:pPr>
              <w:ind w:left="-546" w:firstLine="396"/>
              <w:jc w:val="center"/>
              <w:rPr>
                <w:b/>
                <w:sz w:val="26"/>
                <w:szCs w:val="26"/>
                <w:lang w:val="uk-UA"/>
              </w:rPr>
            </w:pPr>
            <w:r w:rsidRPr="00DE59ED">
              <w:rPr>
                <w:b/>
                <w:sz w:val="26"/>
                <w:szCs w:val="26"/>
                <w:lang w:val="uk-UA"/>
              </w:rPr>
              <w:t>№</w:t>
            </w:r>
          </w:p>
        </w:tc>
        <w:tc>
          <w:tcPr>
            <w:tcW w:w="6379" w:type="dxa"/>
            <w:vAlign w:val="center"/>
          </w:tcPr>
          <w:p w:rsidR="003B70D7" w:rsidRPr="00DE59ED" w:rsidRDefault="003B70D7" w:rsidP="007B4612">
            <w:pPr>
              <w:ind w:left="-114" w:hanging="36"/>
              <w:jc w:val="center"/>
              <w:rPr>
                <w:b/>
                <w:sz w:val="26"/>
                <w:szCs w:val="26"/>
              </w:rPr>
            </w:pPr>
            <w:r w:rsidRPr="00DE59ED">
              <w:rPr>
                <w:b/>
                <w:sz w:val="26"/>
                <w:szCs w:val="26"/>
              </w:rPr>
              <w:t>Перелік заходів Програми</w:t>
            </w:r>
          </w:p>
        </w:tc>
        <w:tc>
          <w:tcPr>
            <w:tcW w:w="1417" w:type="dxa"/>
            <w:vAlign w:val="center"/>
          </w:tcPr>
          <w:p w:rsidR="003B70D7" w:rsidRPr="00DE59ED" w:rsidRDefault="003B70D7" w:rsidP="007B4612">
            <w:pPr>
              <w:jc w:val="center"/>
              <w:rPr>
                <w:b/>
                <w:sz w:val="26"/>
                <w:szCs w:val="26"/>
              </w:rPr>
            </w:pPr>
            <w:r w:rsidRPr="00DE59ED">
              <w:rPr>
                <w:b/>
                <w:sz w:val="26"/>
                <w:szCs w:val="26"/>
              </w:rPr>
              <w:t>Джерела фінансування</w:t>
            </w:r>
          </w:p>
        </w:tc>
        <w:tc>
          <w:tcPr>
            <w:tcW w:w="1134" w:type="dxa"/>
            <w:vAlign w:val="center"/>
          </w:tcPr>
          <w:p w:rsidR="003B70D7" w:rsidRPr="00954B58" w:rsidRDefault="003B70D7" w:rsidP="007B4612">
            <w:pPr>
              <w:jc w:val="center"/>
              <w:rPr>
                <w:b/>
                <w:lang w:val="uk-UA"/>
              </w:rPr>
            </w:pPr>
            <w:r w:rsidRPr="00954B58">
              <w:rPr>
                <w:b/>
                <w:lang w:val="uk-UA"/>
              </w:rPr>
              <w:t>Термін подання</w:t>
            </w:r>
          </w:p>
        </w:tc>
        <w:tc>
          <w:tcPr>
            <w:tcW w:w="1843" w:type="dxa"/>
            <w:vAlign w:val="center"/>
          </w:tcPr>
          <w:p w:rsidR="003B70D7" w:rsidRPr="00DE59ED" w:rsidRDefault="003B70D7" w:rsidP="007B4612">
            <w:pPr>
              <w:jc w:val="center"/>
              <w:rPr>
                <w:b/>
                <w:sz w:val="26"/>
                <w:szCs w:val="26"/>
                <w:lang w:val="uk-UA"/>
              </w:rPr>
            </w:pPr>
            <w:r w:rsidRPr="00DE59ED">
              <w:rPr>
                <w:b/>
                <w:sz w:val="26"/>
                <w:szCs w:val="26"/>
                <w:lang w:val="uk-UA"/>
              </w:rPr>
              <w:t>Виконавці</w:t>
            </w:r>
          </w:p>
        </w:tc>
        <w:tc>
          <w:tcPr>
            <w:tcW w:w="3544" w:type="dxa"/>
            <w:vAlign w:val="center"/>
          </w:tcPr>
          <w:p w:rsidR="003B70D7" w:rsidRPr="00DE59ED" w:rsidRDefault="003B70D7" w:rsidP="007B4612">
            <w:pPr>
              <w:ind w:left="-112"/>
              <w:jc w:val="center"/>
              <w:rPr>
                <w:b/>
                <w:sz w:val="26"/>
                <w:szCs w:val="26"/>
                <w:lang w:val="uk-UA"/>
              </w:rPr>
            </w:pPr>
            <w:r w:rsidRPr="00DE59ED">
              <w:rPr>
                <w:b/>
                <w:sz w:val="26"/>
                <w:szCs w:val="26"/>
                <w:lang w:val="uk-UA"/>
              </w:rPr>
              <w:t>Очікуваний результат</w:t>
            </w:r>
          </w:p>
        </w:tc>
      </w:tr>
      <w:tr w:rsidR="003B70D7" w:rsidRPr="00945B25" w:rsidTr="008F5D0D">
        <w:tc>
          <w:tcPr>
            <w:tcW w:w="704" w:type="dxa"/>
          </w:tcPr>
          <w:p w:rsidR="003B70D7" w:rsidRPr="00DE59ED" w:rsidRDefault="003B70D7" w:rsidP="007B4612">
            <w:pPr>
              <w:jc w:val="center"/>
              <w:rPr>
                <w:sz w:val="26"/>
                <w:szCs w:val="26"/>
                <w:lang w:val="uk-UA"/>
              </w:rPr>
            </w:pPr>
            <w:r w:rsidRPr="00DE59ED">
              <w:rPr>
                <w:sz w:val="26"/>
                <w:szCs w:val="26"/>
                <w:lang w:val="uk-UA"/>
              </w:rPr>
              <w:t>1</w:t>
            </w:r>
          </w:p>
        </w:tc>
        <w:tc>
          <w:tcPr>
            <w:tcW w:w="6379" w:type="dxa"/>
          </w:tcPr>
          <w:p w:rsidR="003B70D7" w:rsidRPr="00C12657" w:rsidRDefault="003B70D7" w:rsidP="00945B25">
            <w:pPr>
              <w:rPr>
                <w:sz w:val="26"/>
                <w:szCs w:val="26"/>
                <w:lang w:val="uk-UA"/>
              </w:rPr>
            </w:pPr>
            <w:r w:rsidRPr="00F51B46">
              <w:rPr>
                <w:spacing w:val="-4"/>
                <w:lang w:val="uk-UA"/>
              </w:rPr>
              <w:t>Організаційне забезпе</w:t>
            </w:r>
            <w:r w:rsidRPr="00F51B46">
              <w:rPr>
                <w:spacing w:val="-4"/>
                <w:lang w:val="uk-UA"/>
              </w:rPr>
              <w:softHyphen/>
              <w:t xml:space="preserve">чення та проведення </w:t>
            </w:r>
            <w:r>
              <w:rPr>
                <w:spacing w:val="-4"/>
                <w:lang w:val="uk-UA"/>
              </w:rPr>
              <w:t xml:space="preserve">міжнародних зовнішньоекономічних форумів  в Дрогобицькій міській територіальній громаді із залученням делегацій з зарубіжних країн </w:t>
            </w:r>
            <w:r w:rsidRPr="00C12657">
              <w:rPr>
                <w:spacing w:val="-4"/>
                <w:lang w:val="uk-UA"/>
              </w:rPr>
              <w:t>(проживання в готелі</w:t>
            </w:r>
            <w:r w:rsidR="00C43B5A">
              <w:rPr>
                <w:spacing w:val="-4"/>
                <w:lang w:val="uk-UA"/>
              </w:rPr>
              <w:t>, харчування</w:t>
            </w:r>
            <w:r w:rsidR="00F80A4E">
              <w:rPr>
                <w:spacing w:val="-4"/>
                <w:lang w:val="uk-UA"/>
              </w:rPr>
              <w:t xml:space="preserve">, </w:t>
            </w:r>
            <w:r w:rsidR="00945B25">
              <w:rPr>
                <w:spacing w:val="-4"/>
                <w:lang w:val="uk-UA"/>
              </w:rPr>
              <w:t>синхронний переклад</w:t>
            </w:r>
            <w:r w:rsidRPr="00C12657">
              <w:rPr>
                <w:spacing w:val="-4"/>
                <w:lang w:val="uk-UA"/>
              </w:rPr>
              <w:t>)</w:t>
            </w:r>
          </w:p>
        </w:tc>
        <w:tc>
          <w:tcPr>
            <w:tcW w:w="1417" w:type="dxa"/>
          </w:tcPr>
          <w:p w:rsidR="003B70D7" w:rsidRPr="00DE59ED" w:rsidRDefault="003B70D7" w:rsidP="007B4612">
            <w:pPr>
              <w:rPr>
                <w:sz w:val="26"/>
                <w:szCs w:val="26"/>
                <w:lang w:val="uk-UA"/>
              </w:rPr>
            </w:pPr>
            <w:r>
              <w:rPr>
                <w:sz w:val="26"/>
                <w:szCs w:val="26"/>
                <w:lang w:val="uk-UA"/>
              </w:rPr>
              <w:t>Місцевий бюджет</w:t>
            </w:r>
          </w:p>
        </w:tc>
        <w:tc>
          <w:tcPr>
            <w:tcW w:w="1134" w:type="dxa"/>
          </w:tcPr>
          <w:p w:rsidR="003B70D7" w:rsidRPr="00954B58" w:rsidRDefault="003B70D7" w:rsidP="007B4612">
            <w:pPr>
              <w:rPr>
                <w:lang w:val="uk-UA"/>
              </w:rPr>
            </w:pPr>
            <w:r w:rsidRPr="00954B58">
              <w:rPr>
                <w:lang w:val="uk-UA"/>
              </w:rPr>
              <w:t>постійно</w:t>
            </w:r>
          </w:p>
        </w:tc>
        <w:tc>
          <w:tcPr>
            <w:tcW w:w="1843" w:type="dxa"/>
          </w:tcPr>
          <w:p w:rsidR="003B70D7" w:rsidRPr="00DE59ED" w:rsidRDefault="003B70D7" w:rsidP="007B4612">
            <w:pPr>
              <w:rPr>
                <w:sz w:val="26"/>
                <w:szCs w:val="26"/>
                <w:lang w:val="uk-UA"/>
              </w:rPr>
            </w:pPr>
            <w:r>
              <w:rPr>
                <w:sz w:val="26"/>
                <w:szCs w:val="26"/>
                <w:lang w:val="uk-UA"/>
              </w:rPr>
              <w:t>управління інвестицій та економічного розвитку</w:t>
            </w:r>
          </w:p>
        </w:tc>
        <w:tc>
          <w:tcPr>
            <w:tcW w:w="3544" w:type="dxa"/>
          </w:tcPr>
          <w:p w:rsidR="003B70D7" w:rsidRPr="00882202" w:rsidRDefault="003B70D7" w:rsidP="007B4612">
            <w:pPr>
              <w:rPr>
                <w:sz w:val="26"/>
                <w:szCs w:val="26"/>
                <w:lang w:val="uk-UA"/>
              </w:rPr>
            </w:pPr>
            <w:r w:rsidRPr="00882202">
              <w:rPr>
                <w:spacing w:val="-4"/>
                <w:lang w:val="uk-UA"/>
              </w:rPr>
              <w:t xml:space="preserve">Розширення міжнародного співробітництва, формування та підтримка позитивного іміджу </w:t>
            </w:r>
            <w:r>
              <w:rPr>
                <w:spacing w:val="-4"/>
                <w:lang w:val="uk-UA"/>
              </w:rPr>
              <w:t>Дрогобицької міської територіальної громади</w:t>
            </w:r>
          </w:p>
        </w:tc>
      </w:tr>
      <w:tr w:rsidR="003B70D7" w:rsidRPr="007165CC" w:rsidTr="008F5D0D">
        <w:tc>
          <w:tcPr>
            <w:tcW w:w="704" w:type="dxa"/>
          </w:tcPr>
          <w:p w:rsidR="003B70D7" w:rsidRPr="00DE59ED" w:rsidRDefault="003B70D7" w:rsidP="007B4612">
            <w:pPr>
              <w:jc w:val="center"/>
              <w:rPr>
                <w:sz w:val="26"/>
                <w:szCs w:val="26"/>
                <w:lang w:val="uk-UA"/>
              </w:rPr>
            </w:pPr>
            <w:r w:rsidRPr="00DE59ED">
              <w:rPr>
                <w:sz w:val="26"/>
                <w:szCs w:val="26"/>
                <w:lang w:val="uk-UA"/>
              </w:rPr>
              <w:t>2</w:t>
            </w:r>
          </w:p>
        </w:tc>
        <w:tc>
          <w:tcPr>
            <w:tcW w:w="6379" w:type="dxa"/>
          </w:tcPr>
          <w:p w:rsidR="003B70D7" w:rsidRPr="00DE59ED" w:rsidRDefault="003B70D7" w:rsidP="007B4612">
            <w:pPr>
              <w:rPr>
                <w:sz w:val="26"/>
                <w:szCs w:val="26"/>
              </w:rPr>
            </w:pPr>
            <w:r w:rsidRPr="003F514F">
              <w:rPr>
                <w:spacing w:val="-4"/>
              </w:rPr>
              <w:t>Виготовлення та придбання протокольної атрибутики та канцелярської продукції для забезпечення належного рівня проведення заходів міжнародного характеру, зокрема, за участю членів іноземних делегацій або представників дипломатичного корпусу (придбання письмового приладдя, квітів, сувенірної продукції, іншого декоративного оздоблення)</w:t>
            </w:r>
          </w:p>
        </w:tc>
        <w:tc>
          <w:tcPr>
            <w:tcW w:w="1417" w:type="dxa"/>
          </w:tcPr>
          <w:p w:rsidR="003B70D7" w:rsidRPr="00DE59ED" w:rsidRDefault="003B70D7" w:rsidP="007B4612">
            <w:pPr>
              <w:rPr>
                <w:sz w:val="26"/>
                <w:szCs w:val="26"/>
              </w:rPr>
            </w:pPr>
            <w:r w:rsidRPr="00DE59ED">
              <w:rPr>
                <w:sz w:val="26"/>
                <w:szCs w:val="26"/>
                <w:lang w:val="uk-UA"/>
              </w:rPr>
              <w:t>Місцевий бюджет</w:t>
            </w:r>
          </w:p>
        </w:tc>
        <w:tc>
          <w:tcPr>
            <w:tcW w:w="1134" w:type="dxa"/>
          </w:tcPr>
          <w:p w:rsidR="003B70D7" w:rsidRPr="00954B58" w:rsidRDefault="003B70D7" w:rsidP="007B4612">
            <w:pPr>
              <w:rPr>
                <w:lang w:val="uk-UA"/>
              </w:rPr>
            </w:pPr>
            <w:r w:rsidRPr="00954B58">
              <w:rPr>
                <w:lang w:val="uk-UA"/>
              </w:rPr>
              <w:t>постійно</w:t>
            </w:r>
          </w:p>
        </w:tc>
        <w:tc>
          <w:tcPr>
            <w:tcW w:w="1843" w:type="dxa"/>
          </w:tcPr>
          <w:p w:rsidR="003B70D7" w:rsidRPr="00DE59ED" w:rsidRDefault="003B70D7" w:rsidP="007B4612">
            <w:pPr>
              <w:rPr>
                <w:sz w:val="26"/>
                <w:szCs w:val="26"/>
                <w:lang w:val="uk-UA"/>
              </w:rPr>
            </w:pPr>
            <w:r>
              <w:rPr>
                <w:sz w:val="26"/>
                <w:szCs w:val="26"/>
                <w:lang w:val="uk-UA"/>
              </w:rPr>
              <w:t>управління інвестицій та економічного розвитку</w:t>
            </w:r>
          </w:p>
        </w:tc>
        <w:tc>
          <w:tcPr>
            <w:tcW w:w="3544" w:type="dxa"/>
          </w:tcPr>
          <w:p w:rsidR="003B70D7" w:rsidRPr="00DE59ED" w:rsidRDefault="003B70D7" w:rsidP="007B4612">
            <w:pPr>
              <w:rPr>
                <w:sz w:val="26"/>
                <w:szCs w:val="26"/>
                <w:lang w:val="uk-UA"/>
              </w:rPr>
            </w:pPr>
            <w:r w:rsidRPr="003F514F">
              <w:rPr>
                <w:spacing w:val="-4"/>
              </w:rPr>
              <w:t>Забезпечення належного рівня проведення заходів міжнародного характеру</w:t>
            </w:r>
          </w:p>
        </w:tc>
      </w:tr>
      <w:tr w:rsidR="003B70D7" w:rsidRPr="00945B25" w:rsidTr="008F5D0D">
        <w:tc>
          <w:tcPr>
            <w:tcW w:w="704" w:type="dxa"/>
          </w:tcPr>
          <w:p w:rsidR="003B70D7" w:rsidRPr="00DE59ED" w:rsidRDefault="003B70D7" w:rsidP="007B4612">
            <w:pPr>
              <w:jc w:val="center"/>
              <w:rPr>
                <w:sz w:val="26"/>
                <w:szCs w:val="26"/>
                <w:lang w:val="uk-UA"/>
              </w:rPr>
            </w:pPr>
          </w:p>
        </w:tc>
        <w:tc>
          <w:tcPr>
            <w:tcW w:w="6379" w:type="dxa"/>
          </w:tcPr>
          <w:p w:rsidR="003B70D7" w:rsidRPr="00F51B46" w:rsidRDefault="003B70D7" w:rsidP="007B4612">
            <w:pPr>
              <w:rPr>
                <w:spacing w:val="-4"/>
                <w:lang w:val="uk-UA"/>
              </w:rPr>
            </w:pPr>
            <w:r w:rsidRPr="00F51B46">
              <w:rPr>
                <w:spacing w:val="-4"/>
                <w:lang w:val="uk-UA"/>
              </w:rPr>
              <w:t>Розроблення ескізів, виготовлення та придбання інформаційних, презентаційних матеріалів та і</w:t>
            </w:r>
            <w:bookmarkStart w:id="0" w:name="_GoBack"/>
            <w:bookmarkEnd w:id="0"/>
            <w:r w:rsidRPr="00F51B46">
              <w:rPr>
                <w:spacing w:val="-4"/>
                <w:lang w:val="uk-UA"/>
              </w:rPr>
              <w:t>нформаційно-рекламних матеріалів про район, сувенірної продукції для вручення або передачі членам офіційних делегацій, дипломатичним представництвам України за кордоном, представникам іноземних країн, та поширення у рамках участі та/або проведен</w:t>
            </w:r>
            <w:r w:rsidRPr="00F51B46">
              <w:rPr>
                <w:spacing w:val="-4"/>
                <w:lang w:val="uk-UA"/>
              </w:rPr>
              <w:softHyphen/>
              <w:t>ня заходів міжнарод</w:t>
            </w:r>
            <w:r w:rsidRPr="00F51B46">
              <w:rPr>
                <w:spacing w:val="-4"/>
                <w:lang w:val="uk-UA"/>
              </w:rPr>
              <w:softHyphen/>
              <w:t>ного харак</w:t>
            </w:r>
            <w:r w:rsidRPr="00F51B46">
              <w:rPr>
                <w:spacing w:val="-4"/>
                <w:lang w:val="uk-UA"/>
              </w:rPr>
              <w:softHyphen/>
              <w:t>теру</w:t>
            </w:r>
          </w:p>
        </w:tc>
        <w:tc>
          <w:tcPr>
            <w:tcW w:w="1417" w:type="dxa"/>
          </w:tcPr>
          <w:p w:rsidR="003B70D7" w:rsidRPr="00DE59ED" w:rsidRDefault="003B70D7" w:rsidP="007B4612">
            <w:pPr>
              <w:rPr>
                <w:sz w:val="26"/>
                <w:szCs w:val="26"/>
                <w:lang w:val="uk-UA"/>
              </w:rPr>
            </w:pPr>
            <w:r w:rsidRPr="00DE59ED">
              <w:rPr>
                <w:sz w:val="26"/>
                <w:szCs w:val="26"/>
                <w:lang w:val="uk-UA"/>
              </w:rPr>
              <w:t>Місцевий бюджет</w:t>
            </w:r>
          </w:p>
        </w:tc>
        <w:tc>
          <w:tcPr>
            <w:tcW w:w="1134" w:type="dxa"/>
          </w:tcPr>
          <w:p w:rsidR="003B70D7" w:rsidRPr="00954B58" w:rsidRDefault="003B70D7" w:rsidP="007B4612">
            <w:pPr>
              <w:rPr>
                <w:lang w:val="uk-UA"/>
              </w:rPr>
            </w:pPr>
            <w:r w:rsidRPr="00954B58">
              <w:rPr>
                <w:lang w:val="uk-UA"/>
              </w:rPr>
              <w:t>постійно</w:t>
            </w:r>
          </w:p>
        </w:tc>
        <w:tc>
          <w:tcPr>
            <w:tcW w:w="1843" w:type="dxa"/>
          </w:tcPr>
          <w:p w:rsidR="003B70D7" w:rsidRDefault="003B70D7" w:rsidP="007B4612">
            <w:pPr>
              <w:rPr>
                <w:sz w:val="26"/>
                <w:szCs w:val="26"/>
                <w:lang w:val="uk-UA"/>
              </w:rPr>
            </w:pPr>
            <w:r>
              <w:rPr>
                <w:sz w:val="26"/>
                <w:szCs w:val="26"/>
                <w:lang w:val="uk-UA"/>
              </w:rPr>
              <w:t>управління інвестицій та економічного розвитку</w:t>
            </w:r>
          </w:p>
        </w:tc>
        <w:tc>
          <w:tcPr>
            <w:tcW w:w="3544" w:type="dxa"/>
          </w:tcPr>
          <w:p w:rsidR="003B70D7" w:rsidRPr="00F51B46" w:rsidRDefault="003B70D7" w:rsidP="007B4612">
            <w:pPr>
              <w:rPr>
                <w:spacing w:val="-4"/>
                <w:lang w:val="uk-UA"/>
              </w:rPr>
            </w:pPr>
            <w:r w:rsidRPr="00F51B46">
              <w:rPr>
                <w:spacing w:val="-4"/>
                <w:lang w:val="uk-UA"/>
              </w:rPr>
              <w:t xml:space="preserve">Забезпечення належного рівня проведення заходів міжнародного характеру, формування та підтримка позитивного іміджу </w:t>
            </w:r>
            <w:r>
              <w:rPr>
                <w:spacing w:val="-4"/>
                <w:lang w:val="uk-UA"/>
              </w:rPr>
              <w:t>Дрогобицької міської територіальної громади</w:t>
            </w:r>
          </w:p>
        </w:tc>
      </w:tr>
    </w:tbl>
    <w:p w:rsidR="003B70D7" w:rsidRDefault="003B70D7" w:rsidP="003B70D7">
      <w:pPr>
        <w:autoSpaceDE w:val="0"/>
        <w:autoSpaceDN w:val="0"/>
        <w:adjustRightInd w:val="0"/>
        <w:rPr>
          <w:i/>
          <w:iCs/>
          <w:lang w:val="uk-UA"/>
        </w:rPr>
      </w:pPr>
    </w:p>
    <w:p w:rsidR="003B70D7" w:rsidRDefault="003B70D7" w:rsidP="003B70D7">
      <w:pPr>
        <w:autoSpaceDE w:val="0"/>
        <w:autoSpaceDN w:val="0"/>
        <w:adjustRightInd w:val="0"/>
        <w:rPr>
          <w:i/>
          <w:iCs/>
          <w:lang w:val="uk-UA"/>
        </w:rPr>
      </w:pPr>
      <w:r w:rsidRPr="00CF191F">
        <w:rPr>
          <w:i/>
          <w:iCs/>
          <w:lang w:val="uk-UA"/>
        </w:rPr>
        <w:t xml:space="preserve">За необхідності та виробничої потреби видатки можуть бути переведені з однієї статті витрат в інші. </w:t>
      </w:r>
    </w:p>
    <w:p w:rsidR="003B70D7" w:rsidRDefault="003B70D7" w:rsidP="003B70D7">
      <w:pPr>
        <w:autoSpaceDE w:val="0"/>
        <w:autoSpaceDN w:val="0"/>
        <w:adjustRightInd w:val="0"/>
        <w:rPr>
          <w:i/>
          <w:iCs/>
          <w:lang w:val="uk-UA"/>
        </w:rPr>
      </w:pPr>
    </w:p>
    <w:p w:rsidR="003B70D7" w:rsidRPr="00CF191F" w:rsidRDefault="003B70D7" w:rsidP="003B70D7">
      <w:pPr>
        <w:autoSpaceDE w:val="0"/>
        <w:autoSpaceDN w:val="0"/>
        <w:adjustRightInd w:val="0"/>
        <w:rPr>
          <w:i/>
          <w:iCs/>
          <w:lang w:val="uk-UA"/>
        </w:rPr>
      </w:pPr>
    </w:p>
    <w:p w:rsidR="003B70D7" w:rsidRPr="00B5753B" w:rsidRDefault="003B70D7" w:rsidP="003B70D7">
      <w:pPr>
        <w:jc w:val="both"/>
        <w:rPr>
          <w:b/>
          <w:sz w:val="28"/>
          <w:szCs w:val="28"/>
          <w:lang w:val="uk-UA"/>
        </w:rPr>
      </w:pPr>
      <w:r>
        <w:rPr>
          <w:b/>
          <w:sz w:val="28"/>
          <w:szCs w:val="28"/>
          <w:lang w:val="uk-UA"/>
        </w:rPr>
        <w:t>Начальник управління інвестицій та економічного розвитку</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Леся</w:t>
      </w:r>
      <w:r w:rsidRPr="00BE371D">
        <w:rPr>
          <w:b/>
          <w:sz w:val="28"/>
          <w:szCs w:val="28"/>
        </w:rPr>
        <w:t xml:space="preserve"> </w:t>
      </w:r>
      <w:r>
        <w:rPr>
          <w:b/>
          <w:sz w:val="28"/>
          <w:szCs w:val="28"/>
          <w:lang w:val="uk-UA"/>
        </w:rPr>
        <w:t>ЛАЗУНДА</w:t>
      </w:r>
    </w:p>
    <w:p w:rsidR="003B70D7" w:rsidRDefault="003B70D7" w:rsidP="003B70D7">
      <w:pPr>
        <w:autoSpaceDE w:val="0"/>
        <w:autoSpaceDN w:val="0"/>
        <w:adjustRightInd w:val="0"/>
        <w:rPr>
          <w:i/>
          <w:iCs/>
          <w:lang w:val="uk-UA"/>
        </w:rPr>
      </w:pPr>
    </w:p>
    <w:p w:rsidR="001F064F" w:rsidRPr="003B70D7" w:rsidRDefault="001F064F">
      <w:pPr>
        <w:rPr>
          <w:lang w:val="uk-UA"/>
        </w:rPr>
      </w:pPr>
    </w:p>
    <w:sectPr w:rsidR="001F064F" w:rsidRPr="003B70D7" w:rsidSect="003B70D7">
      <w:headerReference w:type="even" r:id="rId6"/>
      <w:pgSz w:w="16838" w:h="11906" w:orient="landscape"/>
      <w:pgMar w:top="567" w:right="567" w:bottom="73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D3A" w:rsidRDefault="00CA0D3A">
      <w:r>
        <w:separator/>
      </w:r>
    </w:p>
  </w:endnote>
  <w:endnote w:type="continuationSeparator" w:id="0">
    <w:p w:rsidR="00CA0D3A" w:rsidRDefault="00CA0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D3A" w:rsidRDefault="00CA0D3A">
      <w:r>
        <w:separator/>
      </w:r>
    </w:p>
  </w:footnote>
  <w:footnote w:type="continuationSeparator" w:id="0">
    <w:p w:rsidR="00CA0D3A" w:rsidRDefault="00CA0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34" w:rsidRDefault="008F5D0D" w:rsidP="00B713A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24434" w:rsidRDefault="00CA0D3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0D7"/>
    <w:rsid w:val="001F064F"/>
    <w:rsid w:val="003B70D7"/>
    <w:rsid w:val="006E1BB6"/>
    <w:rsid w:val="008F5D0D"/>
    <w:rsid w:val="00945B25"/>
    <w:rsid w:val="00A95EE5"/>
    <w:rsid w:val="00C43B5A"/>
    <w:rsid w:val="00CA0D3A"/>
    <w:rsid w:val="00F80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239F"/>
  <w15:chartTrackingRefBased/>
  <w15:docId w15:val="{EE403B75-56BE-4B9A-802F-A1E1BA387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0D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70D7"/>
    <w:pPr>
      <w:tabs>
        <w:tab w:val="center" w:pos="4677"/>
        <w:tab w:val="right" w:pos="9355"/>
      </w:tabs>
    </w:pPr>
  </w:style>
  <w:style w:type="character" w:customStyle="1" w:styleId="a4">
    <w:name w:val="Верхний колонтитул Знак"/>
    <w:basedOn w:val="a0"/>
    <w:link w:val="a3"/>
    <w:uiPriority w:val="99"/>
    <w:rsid w:val="003B70D7"/>
    <w:rPr>
      <w:rFonts w:ascii="Times New Roman" w:eastAsia="Times New Roman" w:hAnsi="Times New Roman" w:cs="Times New Roman"/>
      <w:sz w:val="24"/>
      <w:szCs w:val="24"/>
      <w:lang w:val="ru-RU" w:eastAsia="ru-RU"/>
    </w:rPr>
  </w:style>
  <w:style w:type="character" w:styleId="a5">
    <w:name w:val="page number"/>
    <w:basedOn w:val="a0"/>
    <w:uiPriority w:val="99"/>
    <w:rsid w:val="003B70D7"/>
    <w:rPr>
      <w:rFonts w:cs="Times New Roman"/>
    </w:rPr>
  </w:style>
  <w:style w:type="paragraph" w:styleId="a6">
    <w:name w:val="Balloon Text"/>
    <w:basedOn w:val="a"/>
    <w:link w:val="a7"/>
    <w:uiPriority w:val="99"/>
    <w:semiHidden/>
    <w:unhideWhenUsed/>
    <w:rsid w:val="00C43B5A"/>
    <w:rPr>
      <w:rFonts w:ascii="Segoe UI" w:hAnsi="Segoe UI" w:cs="Segoe UI"/>
      <w:sz w:val="18"/>
      <w:szCs w:val="18"/>
    </w:rPr>
  </w:style>
  <w:style w:type="character" w:customStyle="1" w:styleId="a7">
    <w:name w:val="Текст выноски Знак"/>
    <w:basedOn w:val="a0"/>
    <w:link w:val="a6"/>
    <w:uiPriority w:val="99"/>
    <w:semiHidden/>
    <w:rsid w:val="00C43B5A"/>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325</Words>
  <Characters>1855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2024-01-11T13:29:00Z</cp:lastPrinted>
  <dcterms:created xsi:type="dcterms:W3CDTF">2024-01-10T13:27:00Z</dcterms:created>
  <dcterms:modified xsi:type="dcterms:W3CDTF">2024-01-11T13:51:00Z</dcterms:modified>
</cp:coreProperties>
</file>